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20</w:t>
      </w:r>
    </w:p>
    <w:p>
      <w:r>
        <w:t>Bundesgericht (BGE), 1978-01-18, FR</w:t>
      </w:r>
    </w:p>
    <w:p>
      <w:r>
        <w:rPr>
          <w:b/>
        </w:rPr>
        <w:t xml:space="preserve">Quelle: </w:t>
      </w:r>
      <w:r>
        <w:t>https://mcp.opencaselaw.ch/entscheid/bge_104 III 20</w:t>
      </w:r>
    </w:p>
    <w:p>
      <w:r>
        <w:t>FR: ATF 104 III 20</w:t>
      </w:r>
    </w:p>
    <w:p>
      <w:r>
        <w:t>IT: DTF 104 III 20</w:t>
      </w:r>
    </w:p>
    <w:p>
      <w:pPr>
        <w:pStyle w:val="Heading2"/>
      </w:pPr>
      <w:r>
        <w:t>Regeste</w:t>
      </w:r>
    </w:p>
    <w:p>
      <w:r>
        <w:t>Regeste 1. Aufschub der Eröffnung des Konkurses über eine Aktiengesellschaft (Art. 725 Abs. 4 OR). Es ist denkbar, dass während des Aufschubes Betreibungsbegehren entgegengenommen werden, doch darf ihnen nicht stattgegeben werden, solange der Konkurs aufgeschoben ist (E. 1). 2. Verjährungsunterbrechung bei wechselmässigen Ansprüchen (Art. 1070 OR). Zur Unterbrechung der Verjährung genügt, dass das Betreibungsbegehren beim Amt gestellt wurde; die Zustellung eines Zahlungsbefehls ist nicht erforderlich (E. 2).</w:t>
      </w:r>
    </w:p>
    <w:p>
      <w:pPr>
        <w:pStyle w:val="Heading2"/>
      </w:pPr>
      <w:r>
        <w:t>Erwägungen</w:t>
      </w:r>
    </w:p>
    <w:p>
      <w:r>
        <w:rPr>
          <w:b/>
        </w:rPr>
        <w:t>E. 1</w:t>
      </w:r>
    </w:p>
    <w:p>
      <w:r>
        <w:t>La recourante soutient que l'interdiction d'introduire une nouvelle poursuite, prononcée par le Tribunal de première instance, repose sur une base légale incertaine. Une telle interdiction, dit-elle, ne peut résulter que de l'octroi d'un sursis concordataire ( art. 297 al. 1 LP ); saisi d'une requête en ajournement de l'ouverture de la faillite, le juge n'a pas le pouvoir d'exclure la poursuite elle-même: il peut seulement empêcher qu'elle soit continuée. Le but essentiel de l'ajournement de la déclaration de faillite est de ne pas permettre que l'ouverture de la faillite soit prononcée (BÜRGI, n. 18 ad art. 725 CO et les références). Dans ces conditions, on peut concevoir que les réquisitions de poursuite soient admises pendant le cours de l'ajournement, pourvu qu'aucune suite ne leur soit donnée tant que la faillite est ajournée (WERNER, L'ajournement de la faillite des sociétés anonymes, thèse Genève 1938, p. 36). Ainsi, l'effet visé aurait pu être obtenu s'il y avait eu interdiction, non pas de nouvelles poursuites, mais seulement de la continuation des poursuites introduites au-delà du stade du commandement de payer. Mais c'était au juge compétent pour ajourner la déclaration de faillite de prononcer une telle interdiction; en l'espèce, le Tribunal de première instance ne l'a pas fait: tout BGE 104 III 20 S. 22 intéressé pouvait recourir contre sa décision. En revanche, l'Office des poursuites n'était pas autorisé à entreprendre des actes de poursuite contre l'ordre exprès du juge, non plus que l'Autorité de surveillance à en prescrire. Le recours doit dès lors être rejeté.</w:t>
      </w:r>
    </w:p>
    <w:p>
      <w:r>
        <w:rPr>
          <w:b/>
        </w:rPr>
        <w:t>E. 2</w:t>
      </w:r>
    </w:p>
    <w:p>
      <w:r>
        <w:t>La recourante fait vainement valoir que seule la notification d'un commandement de payer permet d'interrompre la prescription des art. 1069 ss. CO. Selon l' art. 1070 CO , la prescription cambiaire est interrompue notamment "par une réquisition de poursuite". Ces termes sont clairs: il suffit que la réquisition ait été adressée à l'office, au sens de l' art. 67 al. 1 LP (la version italienne des textes légaux est particulièrement significative à cet égard: art. 1070 CO : "... mediante... presentazione della domanda d'esecuzione"; art. 67 al. 1 LP : "La domanda d'esecuzione si presenta per iscritto o verbalmente all'ufficio d'esecuzione"). C'est d'ailleurs dans ce sens que se sont prononcées la jurisprudence et la doctrine pour interpréter l' art. 135 ch. 2 CO , dont la rédaction est moins précise ("La prescription est interrompue lorsque le créancier fait valoir ses droits par des poursuites..."): point n'est besoin qu'un commandement de payer soit notifié; il suffit de déposer une réquisition de poursuite qui remplisse les conditions essentielles exigées par la loi sur la poursuite pour dettes et la faillite ( ATF 57 II 463 consid. 2 et les références, ATF 101 II 80 81; cf. BLUMENSTEIN, Handbuch des schweizerischen Betreibungsrechtes, p. 236; JAEGER, n. 1 ad art. 67 LP ; FRITZSCHE, Schuldbetreibung und Konkurs, 2e éd., I p. 121; OSER/SCHÖNENBERGER, n. 6 ad art. 135 CO ). Au demeurant, si la réquisition de poursuite n'avait pas effet interruptif de prescription, on devrait dénier à l'UBS un intérêt juridiquement protégé à recourir au Tribunal fédéral. L'effet suspensif n'ayant été accordé ni à la plainte devant l'autorité cantonale, ni au présent recours, les actions résultant des effets auraient été prescrites le 31 octobre, respectivement le 31 décembre 1977 ( art. 1069 al. 1 CO ). La notification d'un commandement de payer ne pourrait donc plus interrompre la prescription, déjà acquise.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